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62.0" w:type="dxa"/>
        <w:jc w:val="left"/>
        <w:tblBorders>
          <w:top w:color="002060" w:space="0" w:sz="4" w:val="single"/>
          <w:left w:color="002060" w:space="0" w:sz="4" w:val="single"/>
          <w:bottom w:color="002060" w:space="0" w:sz="4" w:val="single"/>
          <w:right w:color="002060" w:space="0" w:sz="4" w:val="single"/>
          <w:insideH w:color="002060" w:space="0" w:sz="4" w:val="single"/>
          <w:insideV w:color="002060" w:space="0" w:sz="4" w:val="single"/>
        </w:tblBorders>
        <w:tblLayout w:type="fixed"/>
        <w:tblLook w:val="0400"/>
      </w:tblPr>
      <w:tblGrid>
        <w:gridCol w:w="9962"/>
        <w:tblGridChange w:id="0">
          <w:tblGrid>
            <w:gridCol w:w="9962"/>
          </w:tblGrid>
        </w:tblGridChange>
      </w:tblGrid>
      <w:tr>
        <w:trPr>
          <w:cantSplit w:val="0"/>
          <w:trHeight w:val="551" w:hRule="atLeast"/>
          <w:tblHeader w:val="0"/>
        </w:trPr>
        <w:tc>
          <w:tcPr>
            <w:shd w:fill="002060" w:val="clear"/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CHECKLIST DE IMPLEMENTACIÓN</w:t>
            </w:r>
          </w:p>
        </w:tc>
      </w:tr>
    </w:tbl>
    <w:p w:rsidR="00000000" w:rsidDel="00000000" w:rsidP="00000000" w:rsidRDefault="00000000" w:rsidRPr="00000000" w14:paraId="00000003">
      <w:pPr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60.0" w:type="dxa"/>
        <w:jc w:val="left"/>
        <w:tblBorders>
          <w:top w:color="002060" w:space="0" w:sz="4" w:val="single"/>
          <w:left w:color="002060" w:space="0" w:sz="4" w:val="single"/>
          <w:bottom w:color="002060" w:space="0" w:sz="4" w:val="single"/>
          <w:right w:color="002060" w:space="0" w:sz="4" w:val="single"/>
          <w:insideH w:color="002060" w:space="0" w:sz="4" w:val="single"/>
          <w:insideV w:color="002060" w:space="0" w:sz="4" w:val="single"/>
        </w:tblBorders>
        <w:tblLayout w:type="fixed"/>
        <w:tblLook w:val="0400"/>
      </w:tblPr>
      <w:tblGrid>
        <w:gridCol w:w="644"/>
        <w:gridCol w:w="9416"/>
        <w:tblGridChange w:id="0">
          <w:tblGrid>
            <w:gridCol w:w="644"/>
            <w:gridCol w:w="9416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color w:val="002060"/>
                <w:sz w:val="18"/>
                <w:szCs w:val="18"/>
              </w:rPr>
            </w:pPr>
            <w:r w:rsidDel="00000000" w:rsidR="00000000" w:rsidRPr="00000000">
              <w:rPr>
                <w:color w:val="002060"/>
                <w:sz w:val="18"/>
                <w:szCs w:val="18"/>
                <w:rtl w:val="0"/>
              </w:rPr>
              <w:t xml:space="preserve">Ítem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color w:val="002060"/>
                <w:sz w:val="18"/>
                <w:szCs w:val="18"/>
              </w:rPr>
            </w:pPr>
            <w:r w:rsidDel="00000000" w:rsidR="00000000" w:rsidRPr="00000000">
              <w:rPr>
                <w:color w:val="002060"/>
                <w:sz w:val="18"/>
                <w:szCs w:val="18"/>
                <w:rtl w:val="0"/>
              </w:rPr>
              <w:t xml:space="preserve">Observación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Ejecutar control de cambio AS400 en ambiente de Calidad.</w:t>
            </w:r>
          </w:p>
          <w:p w:rsidR="00000000" w:rsidDel="00000000" w:rsidP="00000000" w:rsidRDefault="00000000" w:rsidRPr="00000000" w14:paraId="0000000B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Ejecutar control de cambio AS400 en ambiente de Producción.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353" w:top="1418" w:left="1134" w:right="1134" w:header="283" w:footer="17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Georgia"/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rli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spacing w:after="24" w:line="259" w:lineRule="auto"/>
      <w:rPr>
        <w:color w:val="a6a6a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spacing w:after="24" w:line="259" w:lineRule="auto"/>
      <w:jc w:val="center"/>
      <w:rPr>
        <w:color w:val="a6a6a6"/>
      </w:rPr>
    </w:pPr>
    <w:r w:rsidDel="00000000" w:rsidR="00000000" w:rsidRPr="00000000">
      <w:rPr>
        <w:b w:val="1"/>
        <w:bCs w:val="1"/>
        <w:color w:val="a6a6a6"/>
        <w:rtl w:val="0"/>
      </w:rPr>
      <w:t xml:space="preserve">KS2, C.A.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spacing w:after="24" w:line="259" w:lineRule="auto"/>
      <w:jc w:val="center"/>
      <w:rPr>
        <w:color w:val="a6a6a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spacing w:after="24" w:line="259" w:lineRule="auto"/>
      <w:jc w:val="center"/>
      <w:rPr>
        <w:color w:val="a6a6a6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Montserrat" w:cs="Montserrat" w:eastAsia="Montserrat" w:hAnsi="Montserrat"/>
        <w:b w:val="1"/>
        <w:bCs w:val="1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Montserrat" w:cs="Montserrat" w:eastAsia="Montserrat" w:hAnsi="Montserrat"/>
        <w:b w:val="1"/>
        <w:bCs w:val="1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Montserrat" w:cs="Montserrat" w:eastAsia="Montserrat" w:hAnsi="Montserrat"/>
        <w:b w:val="1"/>
        <w:bCs w:val="1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Montserrat" w:cs="Montserrat" w:eastAsia="Montserrat" w:hAnsi="Montserra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Montserrat" w:cs="Montserrat" w:eastAsia="Montserrat" w:hAnsi="Montserrat"/>
        <w:b w:val="1"/>
        <w:bCs w:val="1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79375</wp:posOffset>
          </wp:positionH>
          <wp:positionV relativeFrom="paragraph">
            <wp:posOffset>160655</wp:posOffset>
          </wp:positionV>
          <wp:extent cx="855345" cy="374015"/>
          <wp:effectExtent b="0" l="0" r="0" t="0"/>
          <wp:wrapNone/>
          <wp:docPr descr="LOGO_KS2_PQ" id="1" name="image1.png"/>
          <a:graphic>
            <a:graphicData uri="http://schemas.openxmlformats.org/drawingml/2006/picture">
              <pic:pic>
                <pic:nvPicPr>
                  <pic:cNvPr descr="LOGO_KS2_PQ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55345" cy="37401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Montserrat" w:cs="Montserrat" w:eastAsia="Montserrat" w:hAnsi="Montserrat"/>
        <w:b w:val="1"/>
        <w:bCs w:val="1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Montserrat" w:cs="Montserrat" w:eastAsia="Montserrat" w:hAnsi="Montserrat"/>
        <w:b w:val="1"/>
        <w:bCs w:val="1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Montserrat" w:cs="Montserrat" w:eastAsia="Montserrat" w:hAnsi="Montserrat"/>
        <w:b w:val="1"/>
        <w:bCs w:val="1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Montserrat" w:cs="Montserrat" w:eastAsia="Montserrat" w:hAnsi="Montserra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Montserrat" w:cs="Montserrat" w:eastAsia="Montserrat" w:hAnsi="Montserra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" w:cs="Montserrat" w:eastAsia="Montserrat" w:hAnsi="Montserrat"/>
        <w:sz w:val="22"/>
        <w:szCs w:val="22"/>
        <w:lang w:val="es-VE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Trebuchet MS" w:cs="Trebuchet MS" w:eastAsia="Trebuchet MS" w:hAnsi="Trebuchet MS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Carlito" w:cs="Carlito" w:eastAsia="Carlito" w:hAnsi="Carlito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Carlito-regular.ttf"/><Relationship Id="rId6" Type="http://schemas.openxmlformats.org/officeDocument/2006/relationships/font" Target="fonts/Carlito-bold.ttf"/><Relationship Id="rId7" Type="http://schemas.openxmlformats.org/officeDocument/2006/relationships/font" Target="fonts/Carlito-italic.ttf"/><Relationship Id="rId8" Type="http://schemas.openxmlformats.org/officeDocument/2006/relationships/font" Target="fonts/Carlit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2gHiGnU/82m/LAjgSKjtFCMBEw==">CgMxLjA4AHIhMXZqUFlibVdwcnc2dU9PZ0NrbnlEWS1EWEZGdTFuR3Ba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