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/03/2026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GLPI144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Migración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de clientes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domiciliación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mismo banco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  Medio x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Baja   Media x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Desarrollo-Calidad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Nombre: Gitlab  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Carga masiva de clientes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domiciliación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mismo banco </w:t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II. PLATAFORMAS / REPOSITORIOS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172.16.30.10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172.16.34.10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Copiar archivo fuente DMCDC01DET de Qddssrc/bdiusrlib del ambiente de desarrollo a la qddssrc del ambiente de calidad compilar con 14 *nomax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esarrollo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Copiar archivo fuente  DOMIMBTCM de Qddssrc/bdiusrlib del ambiente de desarrollo a la qddssrc del ambiente de calidad compilar con 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Copiar archivo fuente DOMIMBCM de Qddssrc/bdiusrlib del ambiente de desarrollo a la qddssrc del ambiente de calidad compilar con 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Copiar archivo fuente DMCDCDETL1 de Qddssrc/bdiusrlib del ambiente de desarrollo a la qddssrc del ambiente de calidad compilar con 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Copiar programa fuente CRDMB060 de la qrpgsrc/bdiusrlib del ambiente de desarrollo a la qrpglesrc/bdtusrlib del ambiente de calidad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Copiar programa fuente CRMB013 de la qrpgsrc/bdiusrlib del ambiente de desarrollo a la qrpglesrc/bdtusrlib del ambiente de calidad 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Copiar programa fuente CRDMB061 de la qrpgsrc/bdiusrlib del ambiente de desarrollo a la qrpglesrc/bdtusrlib del ambiente de calidad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Copiar programa fuente DOMICIL060 de la qclsrc/bdiusrlib del ambiente de calidad a la qclsrc/bdtusrlib del ambiente de calidad   compilar con 14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vertAlign w:val="baseline"/>
                <w:rtl w:val="0"/>
              </w:rPr>
              <w:t xml:space="preserve">Copiar programa fuente CRDMB701 de la qrpglesrc/bdiusrlib del ambiente de desarrollo a la qrpglesrc/bdiusrlib  del ambiente de calidad  compilar con 15 y 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Salvar programa CRMB013 de la qrpgsrc/bdtusrlib en caso del roll back restaurar programa y compilar con 15 y CO</w:t>
            </w:r>
          </w:p>
        </w:tc>
      </w:tr>
    </w:tbl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60" w:before="60" w:line="240" w:lineRule="auto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Base de Da</w:t>
      </w:r>
      <w:r w:rsidDel="00000000" w:rsidR="00000000" w:rsidRPr="00000000">
        <w:rPr>
          <w:color w:val="000000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5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Karen Luna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Especialista SR 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Sistemas Financieros Tecnológícos.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5C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5D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65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66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6E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6F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7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Banco del Tesoro, C.A. Banco Universal.</w:t>
    </w:r>
  </w:p>
  <w:p w:rsidR="00000000" w:rsidDel="00000000" w:rsidP="00000000" w:rsidRDefault="00000000" w:rsidRPr="00000000" w14:paraId="0000018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Form. 536 (08-2025)</w:t>
    </w:r>
  </w:p>
  <w:p w:rsidR="00000000" w:rsidDel="00000000" w:rsidP="00000000" w:rsidRDefault="00000000" w:rsidRPr="00000000" w14:paraId="0000018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7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  <w:vertAlign w:val="baseline"/>
            </w:rPr>
            <w:drawing>
              <wp:inline distB="0" distT="0" distL="114300" distR="114300">
                <wp:extent cx="1634490" cy="470535"/>
                <wp:effectExtent b="0" l="0" r="0" t="0"/>
                <wp:docPr descr="Logo horizontal con RIF a la Izquierda para medios impresos" id="1026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7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vertAlign w:val="baseline"/>
              <w:rtl w:val="0"/>
            </w:rPr>
            <w:t xml:space="preserve">SOLICITUD DE PASE ENTRE AMBIENTES</w:t>
          </w:r>
        </w:p>
      </w:tc>
      <w:tc>
        <w:tcPr>
          <w:vAlign w:val="top"/>
        </w:tcPr>
        <w:p w:rsidR="00000000" w:rsidDel="00000000" w:rsidP="00000000" w:rsidRDefault="00000000" w:rsidRPr="00000000" w14:paraId="0000017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s-VE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1"/>
    </w:pPr>
    <w:rPr>
      <w:rFonts w:ascii="Calibri" w:cs="Calibri" w:eastAsia="Calibri" w:hAnsi="Calibri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s-VE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2"/>
    </w:pPr>
    <w:rPr>
      <w:rFonts w:ascii="Calibri" w:cs="Calibri" w:eastAsia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VE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libri" w:cs="Calibri" w:eastAsia="Calibri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VE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276" w:lineRule="auto"/>
      <w:ind w:leftChars="-1" w:rightChars="0" w:firstLineChars="-1"/>
      <w:textDirection w:val="btLr"/>
      <w:textAlignment w:val="top"/>
      <w:outlineLvl w:val="4"/>
    </w:pPr>
    <w:rPr>
      <w:rFonts w:ascii="Calibri" w:cs="Calibri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276" w:lineRule="auto"/>
      <w:ind w:leftChars="-1" w:rightChars="0" w:firstLineChars="-1"/>
      <w:textDirection w:val="btLr"/>
      <w:textAlignment w:val="top"/>
      <w:outlineLvl w:val="5"/>
    </w:pPr>
    <w:rPr>
      <w:rFonts w:ascii="Calibri" w:cs="Calibri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VE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ínculo">
    <w:name w:val="Hipervínculo"/>
    <w:basedOn w:val="Fuentedepárrafopredeter."/>
    <w:next w:val="Hipervínculo"/>
    <w:autoRedefine w:val="0"/>
    <w:hidden w:val="0"/>
    <w:qFormat w:val="1"/>
    <w:rPr>
      <w:rStyle w:val="Fuentedepárrafopredeter.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VE"/>
    </w:rPr>
  </w:style>
  <w:style w:type="character" w:styleId="TextodegloboCar">
    <w:name w:val="Texto de globo Car"/>
    <w:basedOn w:val="Fuentedepárrafopredeter."/>
    <w:next w:val="TextodegloboCar"/>
    <w:autoRedefine w:val="0"/>
    <w:hidden w:val="0"/>
    <w:qFormat w:val="0"/>
    <w:rPr>
      <w:rStyle w:val="Fuentedepárrafopredeter."/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rStyle w:val="Fuentedepárrafopredeter."/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rStyle w:val="Fuentedepárrafopredeter."/>
      <w:w w:val="100"/>
      <w:position w:val="-1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iCs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s-VE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s-VE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>
    <w:name w:val="Table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PlaceholderText">
    <w:name w:val="Placeholder Text"/>
    <w:basedOn w:val="Fuentedepárrafopredeter."/>
    <w:next w:val="PlaceholderText"/>
    <w:autoRedefine w:val="0"/>
    <w:hidden w:val="0"/>
    <w:qFormat w:val="0"/>
    <w:rPr>
      <w:rStyle w:val="Fuentedepárrafopredeter."/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basedOn w:val="Fuentedepárrafopredeter."/>
    <w:next w:val="UnresolvedMention"/>
    <w:autoRedefine w:val="0"/>
    <w:hidden w:val="0"/>
    <w:qFormat w:val="1"/>
    <w:rPr>
      <w:rStyle w:val="Fuentedepárrafopredeter."/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_Style23">
    <w:name w:val="_Style 23"/>
    <w:basedOn w:val="TableNormal"/>
    <w:next w:val="_Style23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3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4">
    <w:name w:val="_Style 24"/>
    <w:basedOn w:val="TableNormal"/>
    <w:next w:val="_Style24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4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5">
    <w:name w:val="_Style 25"/>
    <w:basedOn w:val="TableNormal"/>
    <w:next w:val="_Style25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5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6">
    <w:name w:val="_Style 26"/>
    <w:basedOn w:val="TableNormal"/>
    <w:next w:val="_Style26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6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7">
    <w:name w:val="_Style 27"/>
    <w:basedOn w:val="TableNormal"/>
    <w:next w:val="_Style27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7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8">
    <w:name w:val="_Style 28"/>
    <w:basedOn w:val="TableNormal"/>
    <w:next w:val="_Style28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8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29">
    <w:name w:val="_Style 29"/>
    <w:basedOn w:val="TableNormal"/>
    <w:next w:val="_Style29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29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0">
    <w:name w:val="_Style 30"/>
    <w:basedOn w:val="TableNormal"/>
    <w:next w:val="_Style30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0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1">
    <w:name w:val="_Style 31"/>
    <w:basedOn w:val="TableNormal"/>
    <w:next w:val="_Style3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2">
    <w:name w:val="_Style 32"/>
    <w:basedOn w:val="TableNormal"/>
    <w:next w:val="_Style3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2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3">
    <w:name w:val="_Style 33"/>
    <w:basedOn w:val="TableNormal"/>
    <w:next w:val="_Style33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3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4">
    <w:name w:val="_Style 34"/>
    <w:basedOn w:val="TableNormal"/>
    <w:next w:val="_Style34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4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5">
    <w:name w:val="_Style 35"/>
    <w:basedOn w:val="TableNormal"/>
    <w:next w:val="_Style35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5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6">
    <w:name w:val="_Style 36"/>
    <w:basedOn w:val="TableNormal"/>
    <w:next w:val="_Style36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6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7">
    <w:name w:val="_Style 37"/>
    <w:basedOn w:val="TableNormal"/>
    <w:next w:val="_Style37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7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8">
    <w:name w:val="_Style 38"/>
    <w:basedOn w:val="TableNormal"/>
    <w:next w:val="_Style38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8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9">
    <w:name w:val="_Style 39"/>
    <w:basedOn w:val="TableNormal"/>
    <w:next w:val="_Style39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39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40">
    <w:name w:val="_Style 40"/>
    <w:basedOn w:val="TableNormal"/>
    <w:next w:val="_Style40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_Style40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duhiKxqWojfF0ihIhWXQRPVz+w==">CgMxLjA4AHIhMVJRZUhzWFFNYVZJMEJMUHd6U1FRN0R0V3N0dmc3dkU0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2026-02-03T13:07:00Z</dcterms:created>
  <dc:creator>Alexandra Lourdes Di Zio Castillo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8FA4DA248BE8460AB3978EE2DDDF763E_13</vt:lpwstr>
  </property>
</Properties>
</file>