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59" w:firstLine="0"/>
        <w:jc w:val="center"/>
        <w:rPr>
          <w:sz w:val="48"/>
          <w:szCs w:val="48"/>
        </w:rPr>
      </w:pPr>
      <w:bookmarkStart w:colFirst="0" w:colLast="0" w:name="_heading=h.1gdos1ocise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59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59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59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59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59" w:firstLine="0"/>
        <w:jc w:val="center"/>
        <w:rPr>
          <w:b w:val="1"/>
          <w:bCs w:val="1"/>
          <w:sz w:val="48"/>
          <w:szCs w:val="48"/>
        </w:rPr>
      </w:pPr>
      <w:bookmarkStart w:colFirst="0" w:colLast="0" w:name="_heading=h.t9b8bnltcn4d" w:id="1"/>
      <w:bookmarkEnd w:id="1"/>
      <w:r w:rsidDel="00000000" w:rsidR="00000000" w:rsidRPr="00000000">
        <w:rPr>
          <w:sz w:val="48"/>
          <w:szCs w:val="48"/>
          <w:rtl w:val="0"/>
        </w:rPr>
        <w:t xml:space="preserve">MANUAL DE USUARIO PARA LA MIGRACIÓN MASIVA DE CONTRATOS EN DOMICILIACIÓN MISMO BANCO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2e75b5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2e75b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5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59" w:firstLine="0"/>
        <w:jc w:val="center"/>
        <w:rPr/>
      </w:pPr>
      <w:r w:rsidDel="00000000" w:rsidR="00000000" w:rsidRPr="00000000">
        <w:rPr>
          <w:rtl w:val="0"/>
        </w:rPr>
        <w:t xml:space="preserve">Introducción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objetivo de este documento es definir el procedimiento para utilizar el módulo 'Domiciliación Mismo Banco' en la plataforma Admin Canales. Para ello, se abordan dos áreas fundamentales: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masiva: Procedimiento para el registro de contratos de clientes.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Consulta: Verificación y seguimiento de los resultados del proceso.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jc w:val="both"/>
        <w:rPr/>
      </w:pPr>
      <w:bookmarkStart w:colFirst="0" w:colLast="0" w:name="_heading=h.n23snhjp8dlg" w:id="2"/>
      <w:bookmarkEnd w:id="2"/>
      <w:r w:rsidDel="00000000" w:rsidR="00000000" w:rsidRPr="00000000">
        <w:rPr>
          <w:rtl w:val="0"/>
        </w:rPr>
        <w:t xml:space="preserve">Carga Masiva de Contratos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realizar la carga masiva de contratos, acceda a la opción </w:t>
      </w:r>
      <w:r w:rsidDel="00000000" w:rsidR="00000000" w:rsidRPr="00000000">
        <w:rPr>
          <w:b w:val="1"/>
          <w:bCs w:val="1"/>
          <w:rtl w:val="0"/>
        </w:rPr>
        <w:t xml:space="preserve">'Operación Lotes Cobros Mismo Banco'</w:t>
      </w:r>
      <w:r w:rsidDel="00000000" w:rsidR="00000000" w:rsidRPr="00000000">
        <w:rPr>
          <w:rtl w:val="0"/>
        </w:rPr>
        <w:t xml:space="preserve"> en el Administrador de Canales. Dentro de esta sección, seleccione el botón </w:t>
      </w:r>
      <w:r w:rsidDel="00000000" w:rsidR="00000000" w:rsidRPr="00000000">
        <w:rPr>
          <w:b w:val="1"/>
          <w:bCs w:val="1"/>
          <w:rtl w:val="0"/>
        </w:rPr>
        <w:t xml:space="preserve">'Migración Masiva de Contratos'</w:t>
      </w:r>
      <w:r w:rsidDel="00000000" w:rsidR="00000000" w:rsidRPr="00000000">
        <w:rPr>
          <w:rtl w:val="0"/>
        </w:rPr>
        <w:t xml:space="preserve"> para desplegar la interfaz de carga de datos (ver </w:t>
      </w:r>
      <w:r w:rsidDel="00000000" w:rsidR="00000000" w:rsidRPr="00000000">
        <w:rPr>
          <w:b w:val="1"/>
          <w:bCs w:val="1"/>
          <w:rtl w:val="0"/>
        </w:rPr>
        <w:t xml:space="preserve">Gráficas 1 y 2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jc w:val="both"/>
        <w:rPr/>
      </w:pPr>
      <w:r w:rsidDel="00000000" w:rsidR="00000000" w:rsidRPr="00000000">
        <w:rPr/>
        <w:drawing>
          <wp:inline distB="0" distT="0" distL="0" distR="0">
            <wp:extent cx="5612130" cy="2441575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  <w:rtl w:val="0"/>
        </w:rPr>
        <w:t xml:space="preserve">Gráfica 1. Acceso a la opción de Domiciliación Mismo Banco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jc w:val="both"/>
        <w:rPr/>
      </w:pPr>
      <w:r w:rsidDel="00000000" w:rsidR="00000000" w:rsidRPr="00000000">
        <w:rPr/>
        <w:drawing>
          <wp:inline distB="0" distT="0" distL="0" distR="0">
            <wp:extent cx="5612130" cy="2175510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75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  <w:rtl w:val="0"/>
        </w:rPr>
        <w:t xml:space="preserve">Gráfica 2. Formulario de Ingreso de datos para Migración de Contratos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Gráfica 2</w:t>
      </w:r>
      <w:r w:rsidDel="00000000" w:rsidR="00000000" w:rsidRPr="00000000">
        <w:rPr>
          <w:rtl w:val="0"/>
        </w:rPr>
        <w:t xml:space="preserve"> ilustra el formulario para la migración masiva. Su estructura es idéntica a la de carga por lotes, requiriendo la selección del cliente y el archivo correspondiente; además, permite descargar la </w:t>
      </w:r>
      <w:r w:rsidDel="00000000" w:rsidR="00000000" w:rsidRPr="00000000">
        <w:rPr>
          <w:b w:val="1"/>
          <w:bCs w:val="1"/>
          <w:rtl w:val="0"/>
        </w:rPr>
        <w:t xml:space="preserve">macro oficial</w:t>
      </w:r>
      <w:r w:rsidDel="00000000" w:rsidR="00000000" w:rsidRPr="00000000">
        <w:rPr>
          <w:rtl w:val="0"/>
        </w:rPr>
        <w:t xml:space="preserve"> del proceso. Una vez ingresados los datos, el sistema validará la información y mostrará una pantalla de resultados. Al pulsar </w:t>
      </w:r>
      <w:r w:rsidDel="00000000" w:rsidR="00000000" w:rsidRPr="00000000">
        <w:rPr>
          <w:b w:val="1"/>
          <w:bCs w:val="1"/>
          <w:rtl w:val="0"/>
        </w:rPr>
        <w:t xml:space="preserve">'Enviar Migración'</w:t>
      </w:r>
      <w:r w:rsidDel="00000000" w:rsidR="00000000" w:rsidRPr="00000000">
        <w:rPr>
          <w:rtl w:val="0"/>
        </w:rPr>
        <w:t xml:space="preserve">, se iniciará el procesamiento y el sistema notificará el resultado; de ser exitoso, se proporcionará el </w:t>
      </w:r>
      <w:r w:rsidDel="00000000" w:rsidR="00000000" w:rsidRPr="00000000">
        <w:rPr>
          <w:b w:val="1"/>
          <w:bCs w:val="1"/>
          <w:rtl w:val="0"/>
        </w:rPr>
        <w:t xml:space="preserve">número de lote</w:t>
      </w:r>
      <w:r w:rsidDel="00000000" w:rsidR="00000000" w:rsidRPr="00000000">
        <w:rPr>
          <w:rtl w:val="0"/>
        </w:rPr>
        <w:t xml:space="preserve"> generado (</w:t>
      </w:r>
      <w:r w:rsidDel="00000000" w:rsidR="00000000" w:rsidRPr="00000000">
        <w:rPr>
          <w:b w:val="1"/>
          <w:bCs w:val="1"/>
          <w:rtl w:val="0"/>
        </w:rPr>
        <w:t xml:space="preserve">Gráfica 3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jc w:val="both"/>
        <w:rPr/>
      </w:pPr>
      <w:r w:rsidDel="00000000" w:rsidR="00000000" w:rsidRPr="00000000">
        <w:rPr/>
        <w:drawing>
          <wp:inline distB="0" distT="0" distL="0" distR="0">
            <wp:extent cx="5612130" cy="2628900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  <w:rtl w:val="0"/>
        </w:rPr>
        <w:t xml:space="preserve">Gráfica 3 Resultado Exitoso de migración de contratos</w:t>
      </w:r>
    </w:p>
    <w:p w:rsidR="00000000" w:rsidDel="00000000" w:rsidP="00000000" w:rsidRDefault="00000000" w:rsidRPr="00000000" w14:paraId="0000001F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Consulta de Resultado de la carga masiva.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Para consultar los resultados de la carga masiva, acceda a la sección de filtros en la pantalla principal de </w:t>
      </w:r>
      <w:r w:rsidDel="00000000" w:rsidR="00000000" w:rsidRPr="00000000">
        <w:rPr>
          <w:b w:val="1"/>
          <w:bCs w:val="1"/>
          <w:rtl w:val="0"/>
        </w:rPr>
        <w:t xml:space="preserve">Domiciliación Mismo Banco</w:t>
      </w:r>
      <w:r w:rsidDel="00000000" w:rsidR="00000000" w:rsidRPr="00000000">
        <w:rPr>
          <w:rtl w:val="0"/>
        </w:rPr>
        <w:t xml:space="preserve"> (ver Gráficos 4 y 5), donde se desplegará la interfaz de búsqueda correspondiente.</w:t>
      </w:r>
    </w:p>
    <w:p w:rsidR="00000000" w:rsidDel="00000000" w:rsidP="00000000" w:rsidRDefault="00000000" w:rsidRPr="00000000" w14:paraId="00000021">
      <w:pPr>
        <w:keepNext w:val="1"/>
        <w:jc w:val="both"/>
        <w:rPr/>
      </w:pPr>
      <w:r w:rsidDel="00000000" w:rsidR="00000000" w:rsidRPr="00000000">
        <w:rPr/>
        <w:drawing>
          <wp:inline distB="0" distT="0" distL="0" distR="0">
            <wp:extent cx="5612130" cy="2743835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  <w:rtl w:val="0"/>
        </w:rPr>
        <w:t xml:space="preserve">Gráfica 4. Acceso a la opción para consultas estatus de la migración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jc w:val="both"/>
        <w:rPr/>
      </w:pPr>
      <w:r w:rsidDel="00000000" w:rsidR="00000000" w:rsidRPr="00000000">
        <w:rPr/>
        <w:drawing>
          <wp:inline distB="0" distT="0" distL="0" distR="0">
            <wp:extent cx="5612130" cy="4831715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31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  <w:rtl w:val="0"/>
        </w:rPr>
        <w:t xml:space="preserve">Gráfica 5. Pantalla para efectuar consulta de migración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En la pantalla de consulta de </w:t>
      </w:r>
      <w:r w:rsidDel="00000000" w:rsidR="00000000" w:rsidRPr="00000000">
        <w:rPr>
          <w:b w:val="1"/>
          <w:bCs w:val="1"/>
          <w:rtl w:val="0"/>
        </w:rPr>
        <w:t xml:space="preserve">Domiciliaciones Mismo Banco</w:t>
      </w:r>
      <w:r w:rsidDel="00000000" w:rsidR="00000000" w:rsidRPr="00000000">
        <w:rPr>
          <w:rtl w:val="0"/>
        </w:rPr>
        <w:t xml:space="preserve">, active la casilla </w:t>
      </w:r>
      <w:r w:rsidDel="00000000" w:rsidR="00000000" w:rsidRPr="00000000">
        <w:rPr>
          <w:b w:val="1"/>
          <w:bCs w:val="1"/>
          <w:rtl w:val="0"/>
        </w:rPr>
        <w:t xml:space="preserve">'Reporte de Contratos Masivos'</w:t>
      </w:r>
      <w:r w:rsidDel="00000000" w:rsidR="00000000" w:rsidRPr="00000000">
        <w:rPr>
          <w:rtl w:val="0"/>
        </w:rPr>
        <w:t xml:space="preserve"> e ingrese el número de lote y el documento del cliente. Posteriormente, elija el formato de salida (</w:t>
      </w:r>
      <w:r w:rsidDel="00000000" w:rsidR="00000000" w:rsidRPr="00000000">
        <w:rPr>
          <w:b w:val="1"/>
          <w:bCs w:val="1"/>
          <w:rtl w:val="0"/>
        </w:rPr>
        <w:t xml:space="preserve">XLS o PDF</w:t>
      </w:r>
      <w:r w:rsidDel="00000000" w:rsidR="00000000" w:rsidRPr="00000000">
        <w:rPr>
          <w:rtl w:val="0"/>
        </w:rPr>
        <w:t xml:space="preserve">) y haga clic en </w:t>
      </w:r>
      <w:r w:rsidDel="00000000" w:rsidR="00000000" w:rsidRPr="00000000">
        <w:rPr>
          <w:b w:val="1"/>
          <w:bCs w:val="1"/>
          <w:rtl w:val="0"/>
        </w:rPr>
        <w:t xml:space="preserve">'Exportar Reporte'</w:t>
      </w:r>
      <w:r w:rsidDel="00000000" w:rsidR="00000000" w:rsidRPr="00000000">
        <w:rPr>
          <w:rtl w:val="0"/>
        </w:rPr>
        <w:t xml:space="preserve"> para iniciar la descarga del documento.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e75b5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aliases w:val="Bullets,Lista multicolor - Énfasis 11,Lista vistosa - Énfasis 11,Titulo parrafo,Texto,List Paragraph1,Párrafo de Viñeta,tEXTO,Capítulo,Titulo 1,Nornal"/>
    <w:basedOn w:val="Normal"/>
    <w:link w:val="PrrafodelistaCar"/>
    <w:uiPriority w:val="34"/>
    <w:qFormat w:val="1"/>
    <w:rsid w:val="003757FD"/>
    <w:pPr>
      <w:ind w:left="720"/>
      <w:contextualSpacing w:val="1"/>
    </w:pPr>
  </w:style>
  <w:style w:type="character" w:styleId="PrrafodelistaCar" w:customStyle="1">
    <w:name w:val="Párrafo de lista Car"/>
    <w:aliases w:val="Bullets Car,Lista multicolor - Énfasis 11 Car,Lista vistosa - Énfasis 11 Car,Titulo parrafo Car,Texto Car,List Paragraph1 Car,Párrafo de Viñeta Car,tEXTO Car,Capítulo Car,Titulo 1 Car,Nornal Car"/>
    <w:link w:val="Prrafodelista"/>
    <w:uiPriority w:val="34"/>
    <w:locked w:val="1"/>
    <w:rsid w:val="003757FD"/>
    <w:rPr>
      <w:rFonts w:eastAsiaTheme="minorEastAsia"/>
      <w:lang w:eastAsia="es-VE"/>
    </w:rPr>
  </w:style>
  <w:style w:type="character" w:styleId="Ttulo1Car" w:customStyle="1">
    <w:name w:val="Título 1 Car"/>
    <w:basedOn w:val="Fuentedeprrafopredeter"/>
    <w:link w:val="Ttulo1"/>
    <w:uiPriority w:val="9"/>
    <w:rsid w:val="003757FD"/>
    <w:rPr>
      <w:rFonts w:asciiTheme="majorHAnsi" w:cstheme="majorBidi" w:eastAsiaTheme="majorEastAsia" w:hAnsiTheme="majorHAnsi"/>
      <w:color w:val="2e74b5" w:themeColor="accent1" w:themeShade="0000BF"/>
      <w:sz w:val="30"/>
      <w:szCs w:val="30"/>
      <w:lang w:eastAsia="es-VE"/>
    </w:rPr>
  </w:style>
  <w:style w:type="character" w:styleId="Ttulo2Car" w:customStyle="1">
    <w:name w:val="Título 2 Car"/>
    <w:basedOn w:val="Fuentedeprrafopredeter"/>
    <w:link w:val="Ttulo2"/>
    <w:uiPriority w:val="9"/>
    <w:rsid w:val="003757F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VE"/>
    </w:rPr>
  </w:style>
  <w:style w:type="character" w:styleId="Hipervnculo">
    <w:name w:val="Hyperlink"/>
    <w:basedOn w:val="Fuentedeprrafopredeter"/>
    <w:uiPriority w:val="99"/>
    <w:unhideWhenUsed w:val="1"/>
    <w:rsid w:val="003757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757FD"/>
    <w:pPr>
      <w:spacing w:after="0" w:line="240" w:lineRule="auto"/>
    </w:pPr>
    <w:rPr>
      <w:rFonts w:eastAsiaTheme="minorEastAsia"/>
      <w:lang w:eastAsia="es-V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E7214D"/>
    <w:pPr>
      <w:spacing w:after="200" w:line="240" w:lineRule="auto"/>
    </w:pPr>
    <w:rPr>
      <w:rFonts w:eastAsiaTheme="minorHAnsi"/>
      <w:i w:val="1"/>
      <w:iCs w:val="1"/>
      <w:color w:val="44546a" w:themeColor="text2"/>
      <w:kern w:val="2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aCtDq3FF4dv1yUwQaFJgb/1Hw==">CgMxLjAyDmguMWdkb3Mxb2Npc2UzMg5oLnQ5Yjhibmx0Y240ZDIOaC5uMjNzbmhqcDhkbGc4AHIhMVVuUk1hUnJSb0syZlhTaVh5S3IyWEFnRnZtNWJNSGQx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2026-02-23T19:25:00Z</dcterms:created>
  <dc:creator>LENOVO YOGA X380</dc:creator>
</cp:coreProperties>
</file>